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90"/>
        <w:gridCol w:w="4390"/>
      </w:tblGrid>
      <w:tr w:rsidR="00CE64B0" w14:paraId="7E2A17A1" w14:textId="77777777" w:rsidTr="00CE64B0">
        <w:trPr>
          <w:trHeight w:val="720"/>
        </w:trPr>
        <w:tc>
          <w:tcPr>
            <w:tcW w:w="4390" w:type="dxa"/>
          </w:tcPr>
          <w:p w14:paraId="3037120A" w14:textId="104C3637" w:rsidR="00CE64B0" w:rsidRDefault="00CE64B0" w:rsidP="00CE64B0">
            <w:pPr>
              <w:pStyle w:val="Titre"/>
              <w:pBdr>
                <w:bottom w:val="none" w:sz="0" w:space="0" w:color="auto"/>
              </w:pBdr>
            </w:pPr>
            <w:r>
              <w:t>Point :</w:t>
            </w:r>
            <w:r w:rsidR="00894D96">
              <w:t>3.</w:t>
            </w:r>
            <w:r w:rsidR="004667DA">
              <w:t>4</w:t>
            </w:r>
          </w:p>
        </w:tc>
        <w:tc>
          <w:tcPr>
            <w:tcW w:w="4390" w:type="dxa"/>
          </w:tcPr>
          <w:p w14:paraId="4BBBC965" w14:textId="15D6A171" w:rsidR="00CE64B0" w:rsidRDefault="00FD5CB9" w:rsidP="00CE64B0">
            <w:pPr>
              <w:jc w:val="right"/>
            </w:pPr>
            <w:r>
              <w:rPr>
                <w:sz w:val="24"/>
              </w:rPr>
              <w:t>2021-06-01</w:t>
            </w:r>
          </w:p>
        </w:tc>
      </w:tr>
      <w:tr w:rsidR="00CE64B0" w14:paraId="478D2E7A" w14:textId="77777777" w:rsidTr="00CE64B0">
        <w:trPr>
          <w:trHeight w:val="720"/>
        </w:trPr>
        <w:tc>
          <w:tcPr>
            <w:tcW w:w="8780" w:type="dxa"/>
            <w:gridSpan w:val="2"/>
            <w:vAlign w:val="center"/>
          </w:tcPr>
          <w:p w14:paraId="2FD989EE" w14:textId="2C76ABDF" w:rsidR="00CE64B0" w:rsidRPr="00CE64B0" w:rsidRDefault="00CE64B0" w:rsidP="00CE64B0">
            <w:pPr>
              <w:rPr>
                <w:sz w:val="24"/>
              </w:rPr>
            </w:pPr>
            <w:r w:rsidRPr="00CE64B0">
              <w:rPr>
                <w:sz w:val="24"/>
              </w:rPr>
              <w:t>Projet de résolution</w:t>
            </w:r>
            <w:r w:rsidR="00EE26F8">
              <w:rPr>
                <w:sz w:val="24"/>
              </w:rPr>
              <w:t> : 202</w:t>
            </w:r>
            <w:r w:rsidR="00FD5CB9">
              <w:rPr>
                <w:sz w:val="24"/>
              </w:rPr>
              <w:t>1</w:t>
            </w:r>
            <w:r w:rsidR="00EE26F8">
              <w:rPr>
                <w:sz w:val="24"/>
              </w:rPr>
              <w:t>-0</w:t>
            </w:r>
            <w:r w:rsidR="001979B3">
              <w:rPr>
                <w:sz w:val="24"/>
              </w:rPr>
              <w:t>6-</w:t>
            </w:r>
            <w:r w:rsidR="00FD5CB9">
              <w:rPr>
                <w:sz w:val="24"/>
              </w:rPr>
              <w:t>xx</w:t>
            </w:r>
          </w:p>
        </w:tc>
      </w:tr>
    </w:tbl>
    <w:p w14:paraId="135203C0" w14:textId="77777777" w:rsidR="004667DA" w:rsidRDefault="004667DA" w:rsidP="00AC0FC2">
      <w:pPr>
        <w:rPr>
          <w:sz w:val="24"/>
        </w:rPr>
      </w:pPr>
    </w:p>
    <w:p w14:paraId="4DDBDE79" w14:textId="72AAC0A2" w:rsidR="00AC0FC2" w:rsidRPr="00997440" w:rsidRDefault="004667DA" w:rsidP="00AC0FC2">
      <w:pPr>
        <w:rPr>
          <w:rFonts w:cstheme="minorHAnsi"/>
          <w:b/>
          <w:bCs/>
          <w:caps/>
          <w:sz w:val="24"/>
          <w:szCs w:val="24"/>
          <w:u w:val="single"/>
        </w:rPr>
      </w:pPr>
      <w:r w:rsidRPr="00997440">
        <w:rPr>
          <w:rFonts w:cstheme="minorHAnsi"/>
          <w:b/>
          <w:bCs/>
          <w:sz w:val="24"/>
          <w:szCs w:val="24"/>
        </w:rPr>
        <w:t>ADOPTION DU RÈGLEMENT 125-1</w:t>
      </w:r>
      <w:r w:rsidR="00997440" w:rsidRPr="00997440">
        <w:rPr>
          <w:rFonts w:cstheme="minorHAnsi"/>
          <w:b/>
          <w:bCs/>
          <w:sz w:val="24"/>
          <w:szCs w:val="24"/>
        </w:rPr>
        <w:t xml:space="preserve"> MODIFIANT LE RÈGLEMENT NUMÉRO 125 SUR LA GESTION CONTRACTUELLE</w:t>
      </w:r>
    </w:p>
    <w:p w14:paraId="3188E125" w14:textId="5F508E43" w:rsidR="001979B3" w:rsidRPr="00997440" w:rsidRDefault="001979B3" w:rsidP="00997440">
      <w:pPr>
        <w:pBdr>
          <w:top w:val="single" w:sz="4" w:space="1" w:color="auto"/>
        </w:pBdr>
        <w:rPr>
          <w:rFonts w:cstheme="minorHAnsi"/>
          <w:b/>
          <w:bCs/>
          <w:caps/>
          <w:sz w:val="24"/>
          <w:szCs w:val="24"/>
          <w:u w:val="single"/>
        </w:rPr>
      </w:pPr>
    </w:p>
    <w:p w14:paraId="12CFB5A8" w14:textId="77777777" w:rsidR="00997440" w:rsidRPr="00997440" w:rsidRDefault="00997440" w:rsidP="00997440">
      <w:pPr>
        <w:jc w:val="both"/>
        <w:rPr>
          <w:rFonts w:cstheme="minorHAnsi"/>
          <w:sz w:val="24"/>
          <w:szCs w:val="24"/>
        </w:rPr>
      </w:pPr>
      <w:r w:rsidRPr="00997440">
        <w:rPr>
          <w:rFonts w:cstheme="minorHAnsi"/>
          <w:sz w:val="24"/>
          <w:szCs w:val="24"/>
        </w:rPr>
        <w:t xml:space="preserve">CONSIDÉRANT QUE la </w:t>
      </w:r>
      <w:r w:rsidRPr="00997440">
        <w:rPr>
          <w:rFonts w:cstheme="minorHAnsi"/>
          <w:i/>
          <w:iCs/>
          <w:sz w:val="24"/>
          <w:szCs w:val="24"/>
        </w:rPr>
        <w:t>Loi instaurant un nouveau régime d’aménagement dans les zones inondables des lacs et des cours d’eau, octroyant temporairement aux municipalités des pouvoirs visant à répondre à certains besoins et modifiant diverses dispositions</w:t>
      </w:r>
      <w:r w:rsidRPr="00997440">
        <w:rPr>
          <w:rStyle w:val="Appelnotedebasdep"/>
          <w:rFonts w:cstheme="minorHAnsi"/>
          <w:sz w:val="24"/>
          <w:szCs w:val="24"/>
        </w:rPr>
        <w:footnoteReference w:id="1"/>
      </w:r>
      <w:r w:rsidRPr="00997440">
        <w:rPr>
          <w:rFonts w:cstheme="minorHAnsi"/>
          <w:i/>
          <w:iCs/>
          <w:sz w:val="24"/>
          <w:szCs w:val="24"/>
        </w:rPr>
        <w:t xml:space="preserve"> </w:t>
      </w:r>
      <w:r w:rsidRPr="00997440">
        <w:rPr>
          <w:rFonts w:cstheme="minorHAnsi"/>
          <w:sz w:val="24"/>
          <w:szCs w:val="24"/>
        </w:rPr>
        <w:t>a été sanctionnée le 25 mars 2021;</w:t>
      </w:r>
    </w:p>
    <w:p w14:paraId="4578B750" w14:textId="77777777" w:rsidR="00997440" w:rsidRPr="00997440" w:rsidRDefault="00997440" w:rsidP="00997440">
      <w:pPr>
        <w:ind w:left="2832" w:hanging="2832"/>
        <w:jc w:val="both"/>
        <w:rPr>
          <w:rFonts w:cstheme="minorHAnsi"/>
          <w:sz w:val="24"/>
          <w:szCs w:val="24"/>
        </w:rPr>
      </w:pPr>
    </w:p>
    <w:p w14:paraId="431D4444" w14:textId="77777777" w:rsidR="00997440" w:rsidRPr="00997440" w:rsidRDefault="00997440" w:rsidP="00997440">
      <w:pPr>
        <w:jc w:val="both"/>
        <w:rPr>
          <w:rFonts w:cstheme="minorHAnsi"/>
          <w:sz w:val="24"/>
          <w:szCs w:val="24"/>
        </w:rPr>
      </w:pPr>
      <w:r w:rsidRPr="00997440">
        <w:rPr>
          <w:rFonts w:cstheme="minorHAnsi"/>
          <w:sz w:val="24"/>
          <w:szCs w:val="24"/>
        </w:rPr>
        <w:t>CONSIDÉRANT QUE l’article 124 de cette Loi impose aux municipalités l’obligation de prévoir dans leur règlement de gestion contractuelle des mesures pour favoriser, pour une période de trois ans à compter du 25 juin 2021, les biens et services québécois et les fournisseurs, les assureurs et les entrepreneurs qui ont un établissement au Québec et ce, pour la passation de tout contrat qui comporte une dépense inférieure au seuil d’appel d’offres public fixé par règlement ministériel;</w:t>
      </w:r>
    </w:p>
    <w:p w14:paraId="54D0B420" w14:textId="77777777" w:rsidR="00997440" w:rsidRPr="00997440" w:rsidRDefault="00997440" w:rsidP="00997440">
      <w:pPr>
        <w:jc w:val="both"/>
        <w:rPr>
          <w:rFonts w:cstheme="minorHAnsi"/>
          <w:sz w:val="24"/>
          <w:szCs w:val="24"/>
        </w:rPr>
      </w:pPr>
    </w:p>
    <w:p w14:paraId="659B1E24" w14:textId="77777777" w:rsidR="00997440" w:rsidRPr="00997440" w:rsidRDefault="00997440" w:rsidP="00997440">
      <w:pPr>
        <w:jc w:val="both"/>
        <w:rPr>
          <w:rFonts w:cstheme="minorHAnsi"/>
          <w:sz w:val="24"/>
          <w:szCs w:val="24"/>
        </w:rPr>
      </w:pPr>
      <w:r w:rsidRPr="00997440">
        <w:rPr>
          <w:rFonts w:cstheme="minorHAnsi"/>
          <w:sz w:val="24"/>
          <w:szCs w:val="24"/>
        </w:rPr>
        <w:t xml:space="preserve">CONSIDÉRANT </w:t>
      </w:r>
      <w:proofErr w:type="spellStart"/>
      <w:r w:rsidRPr="00997440">
        <w:rPr>
          <w:rFonts w:cstheme="minorHAnsi"/>
          <w:sz w:val="24"/>
          <w:szCs w:val="24"/>
        </w:rPr>
        <w:t>QU’un</w:t>
      </w:r>
      <w:proofErr w:type="spellEnd"/>
      <w:r w:rsidRPr="00997440">
        <w:rPr>
          <w:rFonts w:cstheme="minorHAnsi"/>
          <w:sz w:val="24"/>
          <w:szCs w:val="24"/>
        </w:rPr>
        <w:t xml:space="preserve"> avis de motion a été donné et qu’un projet de règlement a été déposé et présenté à la séance du 4 mai 2021;</w:t>
      </w:r>
    </w:p>
    <w:p w14:paraId="0AE04836" w14:textId="77777777" w:rsidR="00997440" w:rsidRPr="00997440" w:rsidRDefault="00997440" w:rsidP="00997440">
      <w:pPr>
        <w:jc w:val="both"/>
        <w:rPr>
          <w:rFonts w:cstheme="minorHAnsi"/>
          <w:sz w:val="24"/>
          <w:szCs w:val="24"/>
        </w:rPr>
      </w:pPr>
    </w:p>
    <w:p w14:paraId="593F0021" w14:textId="77777777" w:rsidR="00997440" w:rsidRPr="00997440" w:rsidRDefault="00997440" w:rsidP="00997440">
      <w:pPr>
        <w:jc w:val="both"/>
        <w:rPr>
          <w:rFonts w:cstheme="minorHAnsi"/>
          <w:sz w:val="24"/>
          <w:szCs w:val="24"/>
        </w:rPr>
      </w:pPr>
      <w:r w:rsidRPr="00997440">
        <w:rPr>
          <w:rFonts w:cstheme="minorHAnsi"/>
          <w:sz w:val="24"/>
          <w:szCs w:val="24"/>
        </w:rPr>
        <w:t>EN CONSÉQUENCE, il est proposé par</w:t>
      </w:r>
    </w:p>
    <w:p w14:paraId="60F4DAE3" w14:textId="77777777" w:rsidR="00997440" w:rsidRPr="00997440" w:rsidRDefault="00997440" w:rsidP="00997440">
      <w:pPr>
        <w:jc w:val="both"/>
        <w:rPr>
          <w:rFonts w:cstheme="minorHAnsi"/>
          <w:sz w:val="24"/>
          <w:szCs w:val="24"/>
        </w:rPr>
      </w:pPr>
      <w:r w:rsidRPr="00997440">
        <w:rPr>
          <w:rFonts w:cstheme="minorHAnsi"/>
          <w:sz w:val="24"/>
          <w:szCs w:val="24"/>
        </w:rPr>
        <w:t>Appuyé par</w:t>
      </w:r>
    </w:p>
    <w:p w14:paraId="2C7E1BB2" w14:textId="2AF75864" w:rsidR="00997440" w:rsidRPr="00997440" w:rsidRDefault="00997440" w:rsidP="00997440">
      <w:pPr>
        <w:jc w:val="both"/>
        <w:rPr>
          <w:rFonts w:cstheme="minorHAnsi"/>
          <w:sz w:val="24"/>
          <w:szCs w:val="24"/>
        </w:rPr>
      </w:pPr>
      <w:r w:rsidRPr="00997440">
        <w:rPr>
          <w:rFonts w:cstheme="minorHAnsi"/>
          <w:sz w:val="24"/>
          <w:szCs w:val="24"/>
        </w:rPr>
        <w:t xml:space="preserve">Et résolu </w:t>
      </w:r>
      <w:r w:rsidRPr="00997440">
        <w:rPr>
          <w:rFonts w:cstheme="minorHAnsi"/>
          <w:sz w:val="24"/>
          <w:szCs w:val="24"/>
        </w:rPr>
        <w:t>à l’unanimité</w:t>
      </w:r>
    </w:p>
    <w:p w14:paraId="6E06ABD9" w14:textId="584A5D92" w:rsidR="00997440" w:rsidRPr="00997440" w:rsidRDefault="00997440" w:rsidP="00997440">
      <w:pPr>
        <w:jc w:val="both"/>
        <w:rPr>
          <w:rFonts w:cstheme="minorHAnsi"/>
          <w:sz w:val="24"/>
          <w:szCs w:val="24"/>
        </w:rPr>
      </w:pPr>
    </w:p>
    <w:p w14:paraId="37F49DCE" w14:textId="6F24BD32" w:rsidR="00997440" w:rsidRPr="00997440" w:rsidRDefault="00997440" w:rsidP="00997440">
      <w:pPr>
        <w:jc w:val="both"/>
        <w:rPr>
          <w:rFonts w:cstheme="minorHAnsi"/>
          <w:sz w:val="24"/>
          <w:szCs w:val="24"/>
        </w:rPr>
      </w:pPr>
      <w:r w:rsidRPr="00997440">
        <w:rPr>
          <w:rFonts w:cstheme="minorHAnsi"/>
          <w:sz w:val="24"/>
          <w:szCs w:val="24"/>
        </w:rPr>
        <w:t>D’adopter le règlement numéro 125-1, modifiant le règlement numéro 125 sur la gestion contractuelle.</w:t>
      </w:r>
    </w:p>
    <w:sectPr w:rsidR="00997440" w:rsidRPr="00997440" w:rsidSect="00E653ED">
      <w:pgSz w:w="12240" w:h="15840" w:code="1"/>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0956" w14:textId="77777777" w:rsidR="00997440" w:rsidRDefault="00997440" w:rsidP="00997440">
      <w:r>
        <w:separator/>
      </w:r>
    </w:p>
  </w:endnote>
  <w:endnote w:type="continuationSeparator" w:id="0">
    <w:p w14:paraId="68976377" w14:textId="77777777" w:rsidR="00997440" w:rsidRDefault="00997440" w:rsidP="0099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B9A0" w14:textId="77777777" w:rsidR="00997440" w:rsidRDefault="00997440" w:rsidP="00997440">
      <w:r>
        <w:separator/>
      </w:r>
    </w:p>
  </w:footnote>
  <w:footnote w:type="continuationSeparator" w:id="0">
    <w:p w14:paraId="01551D21" w14:textId="77777777" w:rsidR="00997440" w:rsidRDefault="00997440" w:rsidP="00997440">
      <w:r>
        <w:continuationSeparator/>
      </w:r>
    </w:p>
  </w:footnote>
  <w:footnote w:id="1">
    <w:p w14:paraId="7CF93E59" w14:textId="6A8D5396" w:rsidR="00997440" w:rsidRDefault="00997440" w:rsidP="00997440">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26F8"/>
    <w:rsid w:val="001979B3"/>
    <w:rsid w:val="00335D17"/>
    <w:rsid w:val="004667DA"/>
    <w:rsid w:val="0047423C"/>
    <w:rsid w:val="00510A64"/>
    <w:rsid w:val="00764871"/>
    <w:rsid w:val="00894D96"/>
    <w:rsid w:val="0093646B"/>
    <w:rsid w:val="009837E5"/>
    <w:rsid w:val="00997440"/>
    <w:rsid w:val="009A5713"/>
    <w:rsid w:val="00AC0FC2"/>
    <w:rsid w:val="00CE64B0"/>
    <w:rsid w:val="00E653ED"/>
    <w:rsid w:val="00EE26F8"/>
    <w:rsid w:val="00F40EC0"/>
    <w:rsid w:val="00FD5C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F376"/>
  <w15:docId w15:val="{B4DF37C8-282D-4DE5-911F-DFFE5CE9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C0FC2"/>
    <w:pPr>
      <w:pBdr>
        <w:bottom w:val="single" w:sz="8" w:space="4" w:color="4F81BD" w:themeColor="accent1"/>
      </w:pBdr>
      <w:spacing w:after="300"/>
      <w:contextualSpacing/>
    </w:pPr>
    <w:rPr>
      <w:rFonts w:asciiTheme="majorHAnsi" w:eastAsiaTheme="majorEastAsia" w:hAnsiTheme="majorHAnsi" w:cstheme="majorBidi"/>
      <w:color w:val="4F6228" w:themeColor="accent3" w:themeShade="80"/>
      <w:spacing w:val="5"/>
      <w:kern w:val="28"/>
      <w:sz w:val="52"/>
      <w:szCs w:val="52"/>
    </w:rPr>
  </w:style>
  <w:style w:type="character" w:customStyle="1" w:styleId="TitreCar">
    <w:name w:val="Titre Car"/>
    <w:basedOn w:val="Policepardfaut"/>
    <w:link w:val="Titre"/>
    <w:uiPriority w:val="10"/>
    <w:rsid w:val="00AC0FC2"/>
    <w:rPr>
      <w:rFonts w:asciiTheme="majorHAnsi" w:eastAsiaTheme="majorEastAsia" w:hAnsiTheme="majorHAnsi" w:cstheme="majorBidi"/>
      <w:color w:val="4F6228" w:themeColor="accent3" w:themeShade="80"/>
      <w:spacing w:val="5"/>
      <w:kern w:val="28"/>
      <w:sz w:val="52"/>
      <w:szCs w:val="52"/>
    </w:rPr>
  </w:style>
  <w:style w:type="table" w:styleId="Grilledutableau">
    <w:name w:val="Table Grid"/>
    <w:basedOn w:val="TableauNormal"/>
    <w:uiPriority w:val="59"/>
    <w:rsid w:val="00CE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97440"/>
    <w:rPr>
      <w:sz w:val="20"/>
      <w:szCs w:val="20"/>
    </w:rPr>
  </w:style>
  <w:style w:type="character" w:customStyle="1" w:styleId="NotedebasdepageCar">
    <w:name w:val="Note de bas de page Car"/>
    <w:basedOn w:val="Policepardfaut"/>
    <w:link w:val="Notedebasdepage"/>
    <w:uiPriority w:val="99"/>
    <w:semiHidden/>
    <w:rsid w:val="00997440"/>
    <w:rPr>
      <w:sz w:val="20"/>
      <w:szCs w:val="20"/>
    </w:rPr>
  </w:style>
  <w:style w:type="character" w:styleId="Appelnotedebasdep">
    <w:name w:val="footnote reference"/>
    <w:basedOn w:val="Policepardfaut"/>
    <w:uiPriority w:val="99"/>
    <w:semiHidden/>
    <w:unhideWhenUsed/>
    <w:rsid w:val="00997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Relationships xmlns="http://schemas.openxmlformats.org/package/2006/relationships"><Relationship Id="rId1" Type="http://schemas.openxmlformats.org/officeDocument/2006/relationships/attachedTemplate" Target="file:///S:\STRUCTURE%20CLASSEMENT\Conseil\R&#233;unions\Pr&#233;paration%20Conseil\Point%20(r&#233;union%20conseil)%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Point (réunion conseil) ..dotx</Template>
  <TotalTime>2</TotalTime>
  <Pages>1</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Beauregard</dc:creator>
  <cp:lastModifiedBy>Johanne Beauregard</cp:lastModifiedBy>
  <cp:revision>2</cp:revision>
  <cp:lastPrinted>2021-05-28T13:39:00Z</cp:lastPrinted>
  <dcterms:created xsi:type="dcterms:W3CDTF">2021-05-28T13:55:00Z</dcterms:created>
  <dcterms:modified xsi:type="dcterms:W3CDTF">2021-05-28T13:55:00Z</dcterms:modified>
</cp:coreProperties>
</file>